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keepNext w:val="false"/>
        <w:keepLines w:val="false"/>
        <w:spacing w:lineRule="auto" w:line="360" w:before="360" w:after="80"/>
        <w:rPr>
          <w:b/>
          <w:b/>
          <w:bCs/>
          <w:sz w:val="34"/>
          <w:szCs w:val="34"/>
        </w:rPr>
      </w:pPr>
      <w:bookmarkStart w:id="0" w:name="_lc28gtcbkei0"/>
      <w:bookmarkEnd w:id="0"/>
      <w:r>
        <w:rPr>
          <w:b/>
          <w:bCs/>
          <w:sz w:val="34"/>
          <w:szCs w:val="34"/>
        </w:rPr>
        <w:t>SECTION 1: PERFORMANCE SUMMARY AND BONUS AUTHORIZATION</w:t>
      </w:r>
    </w:p>
    <w:p>
      <w:pPr>
        <w:pStyle w:val="Normal1"/>
        <w:spacing w:lineRule="auto" w:line="360" w:before="240" w:after="240"/>
        <w:rPr>
          <w:sz w:val="34"/>
          <w:szCs w:val="34"/>
        </w:rPr>
      </w:pPr>
      <w:r>
        <w:rPr>
          <w:sz w:val="34"/>
          <w:szCs w:val="34"/>
        </w:rPr>
        <w:t>Dear Charlie,</w:t>
      </w:r>
    </w:p>
    <w:p>
      <w:pPr>
        <w:pStyle w:val="Normal1"/>
        <w:spacing w:lineRule="auto" w:line="360" w:before="240" w:after="240"/>
        <w:rPr>
          <w:sz w:val="34"/>
          <w:szCs w:val="34"/>
        </w:rPr>
      </w:pPr>
      <w:r>
        <w:rPr>
          <w:sz w:val="34"/>
          <w:szCs w:val="34"/>
        </w:rPr>
        <w:t>On behalf of TechVenture Solutions and the entire Engineering leadership team, I am pleased to present your annual performance review for the fiscal year ending December 31, 2025. Your contributions to our organization have been exceptional, and this letter serves to formally recognize your achievements and outline the corresponding compensation adjustments.</w:t>
      </w:r>
    </w:p>
    <w:p>
      <w:pPr>
        <w:pStyle w:val="Normal1"/>
        <w:spacing w:lineRule="auto" w:line="360" w:before="240" w:after="240"/>
        <w:rPr>
          <w:b/>
          <w:b/>
          <w:bCs/>
          <w:sz w:val="34"/>
          <w:szCs w:val="34"/>
        </w:rPr>
      </w:pPr>
      <w:r>
        <w:rPr>
          <w:b/>
          <w:bCs/>
          <w:sz w:val="34"/>
          <w:szCs w:val="34"/>
        </w:rPr>
        <w:t>APPROVED ANNUAL PERFORMANCE BONUS: $3,500</w:t>
      </w:r>
    </w:p>
    <w:p>
      <w:pPr>
        <w:pStyle w:val="Normal1"/>
        <w:spacing w:lineRule="auto" w:line="360" w:before="240" w:after="240"/>
        <w:rPr>
          <w:sz w:val="34"/>
          <w:szCs w:val="34"/>
        </w:rPr>
      </w:pPr>
      <w:r>
        <w:rPr>
          <w:sz w:val="34"/>
          <w:szCs w:val="34"/>
        </w:rPr>
        <w:t>This bonus reflects your outstanding contributions throughout fiscal year 2025 and will be paid on January 15, 2026, subject to the terms and conditions outlined in Section 4 of this letter.</w:t>
      </w:r>
    </w:p>
    <w:p>
      <w:pPr>
        <w:pStyle w:val="Heading3"/>
        <w:keepNext w:val="false"/>
        <w:keepLines w:val="false"/>
        <w:spacing w:lineRule="auto" w:line="360" w:before="280" w:after="80"/>
        <w:rPr>
          <w:b/>
          <w:b/>
          <w:bCs/>
          <w:color w:val="000000"/>
          <w:sz w:val="34"/>
          <w:szCs w:val="34"/>
        </w:rPr>
      </w:pPr>
      <w:bookmarkStart w:id="1" w:name="_x3b9v4pnjd57"/>
      <w:bookmarkEnd w:id="1"/>
      <w:r>
        <w:rPr>
          <w:b/>
          <w:bCs/>
          <w:color w:val="000000"/>
          <w:sz w:val="34"/>
          <w:szCs w:val="34"/>
        </w:rPr>
        <w:t>Quantitative Achievements</w:t>
      </w:r>
    </w:p>
    <w:p>
      <w:pPr>
        <w:pStyle w:val="Normal1"/>
        <w:spacing w:lineRule="auto" w:line="360" w:before="240" w:after="240"/>
        <w:rPr>
          <w:sz w:val="34"/>
          <w:szCs w:val="34"/>
        </w:rPr>
      </w:pPr>
      <w:r>
        <w:rPr>
          <w:sz w:val="34"/>
          <w:szCs w:val="34"/>
        </w:rPr>
        <w:t>Your work on project "Quantum-Alpha" represents one of the most significant infrastructure accomplishments in our company's history. As the technical lead for this critical initiative, you successfully directed a cross-functional team of eight engineers over a six-month period, redesigning our entire backend architecture to achieve measurable performance improvements across all production environments.</w:t>
      </w:r>
    </w:p>
    <w:p>
      <w:pPr>
        <w:pStyle w:val="Normal1"/>
        <w:spacing w:lineRule="auto" w:line="360" w:before="240" w:after="240"/>
        <w:rPr>
          <w:b/>
          <w:b/>
          <w:bCs/>
          <w:sz w:val="34"/>
          <w:szCs w:val="34"/>
        </w:rPr>
      </w:pPr>
      <w:r>
        <w:rPr>
          <w:b/>
          <w:bCs/>
          <w:sz w:val="34"/>
          <w:szCs w:val="34"/>
        </w:rPr>
        <w:t>Key Metrics:</w:t>
      </w:r>
    </w:p>
    <w:p>
      <w:pPr>
        <w:pStyle w:val="Normal1"/>
        <w:numPr>
          <w:ilvl w:val="0"/>
          <w:numId w:val="1"/>
        </w:numPr>
        <w:spacing w:lineRule="auto" w:line="360" w:before="240" w:afterAutospacing="0" w:after="0"/>
        <w:ind w:left="720" w:hanging="360"/>
        <w:rPr>
          <w:sz w:val="34"/>
          <w:szCs w:val="34"/>
        </w:rPr>
      </w:pPr>
      <w:r>
        <w:rPr>
          <w:b/>
          <w:bCs/>
          <w:sz w:val="34"/>
          <w:szCs w:val="34"/>
        </w:rPr>
        <w:t>Server Latency Reduction:</w:t>
      </w:r>
      <w:r>
        <w:rPr>
          <w:sz w:val="34"/>
          <w:szCs w:val="34"/>
        </w:rPr>
        <w:t xml:space="preserve"> 15% improvement across all production systems</w:t>
      </w:r>
    </w:p>
    <w:p>
      <w:pPr>
        <w:pStyle w:val="Normal1"/>
        <w:numPr>
          <w:ilvl w:val="0"/>
          <w:numId w:val="1"/>
        </w:numPr>
        <w:spacing w:lineRule="auto" w:line="360" w:beforeAutospacing="0" w:before="0" w:afterAutospacing="0" w:after="0"/>
        <w:ind w:left="720" w:hanging="360"/>
        <w:rPr>
          <w:sz w:val="34"/>
          <w:szCs w:val="34"/>
        </w:rPr>
      </w:pPr>
      <w:r>
        <w:rPr>
          <w:b/>
          <w:bCs/>
          <w:sz w:val="34"/>
          <w:szCs w:val="34"/>
        </w:rPr>
        <w:t>Cost Savings:</w:t>
      </w:r>
      <w:r>
        <w:rPr>
          <w:sz w:val="34"/>
          <w:szCs w:val="34"/>
        </w:rPr>
        <w:t xml:space="preserve"> Approximately $180,000 annually through reduced cloud computing expenses</w:t>
      </w:r>
    </w:p>
    <w:p>
      <w:pPr>
        <w:pStyle w:val="Normal1"/>
        <w:numPr>
          <w:ilvl w:val="0"/>
          <w:numId w:val="1"/>
        </w:numPr>
        <w:spacing w:lineRule="auto" w:line="360" w:beforeAutospacing="0" w:before="0" w:afterAutospacing="0" w:after="0"/>
        <w:ind w:left="720" w:hanging="360"/>
        <w:rPr>
          <w:sz w:val="34"/>
          <w:szCs w:val="34"/>
        </w:rPr>
      </w:pPr>
      <w:r>
        <w:rPr>
          <w:b/>
          <w:bCs/>
          <w:sz w:val="34"/>
          <w:szCs w:val="34"/>
        </w:rPr>
        <w:t>System Uptime:</w:t>
      </w:r>
      <w:r>
        <w:rPr>
          <w:sz w:val="34"/>
          <w:szCs w:val="34"/>
        </w:rPr>
        <w:t xml:space="preserve"> 99.97% during the entire migration period</w:t>
      </w:r>
    </w:p>
    <w:p>
      <w:pPr>
        <w:pStyle w:val="Normal1"/>
        <w:numPr>
          <w:ilvl w:val="0"/>
          <w:numId w:val="1"/>
        </w:numPr>
        <w:spacing w:lineRule="auto" w:line="360" w:beforeAutospacing="0" w:before="0" w:afterAutospacing="0" w:after="0"/>
        <w:ind w:left="720" w:hanging="360"/>
        <w:rPr>
          <w:sz w:val="34"/>
          <w:szCs w:val="34"/>
        </w:rPr>
      </w:pPr>
      <w:r>
        <w:rPr>
          <w:b/>
          <w:bCs/>
          <w:sz w:val="34"/>
          <w:szCs w:val="34"/>
        </w:rPr>
        <w:t>Deployment Success:</w:t>
      </w:r>
      <w:r>
        <w:rPr>
          <w:sz w:val="34"/>
          <w:szCs w:val="34"/>
        </w:rPr>
        <w:t xml:space="preserve"> Zero critical incidents, completed two weeks ahead of schedule</w:t>
      </w:r>
    </w:p>
    <w:p>
      <w:pPr>
        <w:pStyle w:val="Normal1"/>
        <w:numPr>
          <w:ilvl w:val="0"/>
          <w:numId w:val="1"/>
        </w:numPr>
        <w:spacing w:lineRule="auto" w:line="360" w:beforeAutospacing="0" w:before="0" w:afterAutospacing="0" w:after="0"/>
        <w:ind w:left="720" w:hanging="360"/>
        <w:rPr>
          <w:sz w:val="34"/>
          <w:szCs w:val="34"/>
        </w:rPr>
      </w:pPr>
      <w:r>
        <w:rPr>
          <w:b/>
          <w:bCs/>
          <w:sz w:val="34"/>
          <w:szCs w:val="34"/>
        </w:rPr>
        <w:t>Code Contributions:</w:t>
      </w:r>
      <w:r>
        <w:rPr>
          <w:sz w:val="34"/>
          <w:szCs w:val="34"/>
        </w:rPr>
        <w:t xml:space="preserve"> 47 peer-reviewed pull requests with an average review score of 4.8/5.0</w:t>
      </w:r>
    </w:p>
    <w:p>
      <w:pPr>
        <w:pStyle w:val="Normal1"/>
        <w:numPr>
          <w:ilvl w:val="0"/>
          <w:numId w:val="1"/>
        </w:numPr>
        <w:spacing w:lineRule="auto" w:line="360" w:beforeAutospacing="0" w:before="0" w:afterAutospacing="0" w:after="0"/>
        <w:ind w:left="720" w:hanging="360"/>
        <w:rPr>
          <w:sz w:val="34"/>
          <w:szCs w:val="34"/>
        </w:rPr>
      </w:pPr>
      <w:r>
        <w:rPr>
          <w:b/>
          <w:bCs/>
          <w:sz w:val="34"/>
          <w:szCs w:val="34"/>
        </w:rPr>
        <w:t>Bug Resolution Rate:</w:t>
      </w:r>
      <w:r>
        <w:rPr>
          <w:sz w:val="34"/>
          <w:szCs w:val="34"/>
        </w:rPr>
        <w:t xml:space="preserve"> 23% above team average</w:t>
      </w:r>
    </w:p>
    <w:p>
      <w:pPr>
        <w:pStyle w:val="Normal1"/>
        <w:numPr>
          <w:ilvl w:val="0"/>
          <w:numId w:val="1"/>
        </w:numPr>
        <w:spacing w:lineRule="auto" w:line="360" w:beforeAutospacing="0" w:before="0" w:after="240"/>
        <w:ind w:left="720" w:hanging="360"/>
        <w:rPr>
          <w:sz w:val="34"/>
          <w:szCs w:val="34"/>
        </w:rPr>
      </w:pPr>
      <w:r>
        <w:rPr>
          <w:b/>
          <w:bCs/>
          <w:sz w:val="34"/>
          <w:szCs w:val="34"/>
        </w:rPr>
        <w:t>Major Releases:</w:t>
      </w:r>
      <w:r>
        <w:rPr>
          <w:sz w:val="34"/>
          <w:szCs w:val="34"/>
        </w:rPr>
        <w:t xml:space="preserve"> Contributed to three major production releases</w:t>
      </w:r>
    </w:p>
    <w:p>
      <w:pPr>
        <w:pStyle w:val="Normal1"/>
        <w:spacing w:lineRule="auto" w:line="360" w:before="240" w:after="240"/>
        <w:rPr>
          <w:sz w:val="34"/>
          <w:szCs w:val="34"/>
        </w:rPr>
      </w:pPr>
      <w:r>
        <w:rPr>
          <w:sz w:val="34"/>
          <w:szCs w:val="34"/>
        </w:rPr>
        <w:t>The Quantum-Alpha project not only met its original objectives but exceeded them in ways that have fundamentally transformed our operational capabilities. The architectural decisions you championed have positioned our infrastructure to scale efficiently for the next three years of projected growth.</w:t>
      </w:r>
    </w:p>
    <w:p>
      <w:pPr>
        <w:pStyle w:val="Heading3"/>
        <w:keepNext w:val="false"/>
        <w:keepLines w:val="false"/>
        <w:spacing w:lineRule="auto" w:line="360" w:before="280" w:after="80"/>
        <w:rPr>
          <w:b/>
          <w:b/>
          <w:bCs/>
          <w:color w:val="000000"/>
          <w:sz w:val="34"/>
          <w:szCs w:val="34"/>
        </w:rPr>
      </w:pPr>
      <w:bookmarkStart w:id="2" w:name="_1ycvb34yxn48"/>
      <w:bookmarkEnd w:id="2"/>
      <w:r>
        <w:rPr>
          <w:b/>
          <w:bCs/>
          <w:color w:val="000000"/>
          <w:sz w:val="34"/>
          <w:szCs w:val="34"/>
        </w:rPr>
        <w:t>Qualitative Assessment</w:t>
      </w:r>
    </w:p>
    <w:p>
      <w:pPr>
        <w:pStyle w:val="Normal1"/>
        <w:spacing w:lineRule="auto" w:line="360" w:before="240" w:after="240"/>
        <w:rPr>
          <w:sz w:val="34"/>
          <w:szCs w:val="34"/>
        </w:rPr>
      </w:pPr>
      <w:r>
        <w:rPr>
          <w:sz w:val="34"/>
          <w:szCs w:val="34"/>
        </w:rPr>
        <w:t>Beyond the quantifiable metrics, your leadership and cultural contributions have been equally impressive. You established a weekly mentorship program for three junior developers—Alex Chen, Maria Rodriguez, and Priya Patel—which has resulted in measurable skill development and improved team cohesion. Each of your mentees has reported increased confidence in their technical abilities and has successfully taken on more complex assignments.</w:t>
      </w:r>
    </w:p>
    <w:p>
      <w:pPr>
        <w:pStyle w:val="Normal1"/>
        <w:spacing w:lineRule="auto" w:line="360" w:before="240" w:after="240"/>
        <w:rPr>
          <w:sz w:val="34"/>
          <w:szCs w:val="34"/>
        </w:rPr>
      </w:pPr>
      <w:r>
        <w:rPr>
          <w:sz w:val="34"/>
          <w:szCs w:val="34"/>
        </w:rPr>
        <w:t>Your consistent demonstration of our Engineering Department's core values—innovation, collaboration, technical excellence, and customer focus—has set a standard for the entire organization. We have received unsolicited positive feedback from colleagues across Product Management, DevOps, Security, and Customer Success regarding your communication skills, problem-solving abilities, and willingness to assist with urgent issues outside normal working hours.</w:t>
      </w:r>
    </w:p>
    <w:p>
      <w:pPr>
        <w:pStyle w:val="Normal1"/>
        <w:spacing w:lineRule="auto" w:line="360" w:before="240" w:after="240"/>
        <w:rPr>
          <w:sz w:val="34"/>
          <w:szCs w:val="34"/>
        </w:rPr>
      </w:pPr>
      <w:r>
        <w:rPr>
          <w:sz w:val="34"/>
          <w:szCs w:val="34"/>
        </w:rPr>
        <w:t>The comprehensive technical documentation you created for the Quantum-Alpha migration has become the reference standard for our engineering organization. Your "Infrastructure Playbook" is now used in onboarding processes and has reduced the learning curve for new team members by an estimated 40%.</w:t>
      </w:r>
    </w:p>
    <w:p>
      <w:pPr>
        <w:pStyle w:val="Normal1"/>
        <w:spacing w:lineRule="auto" w:line="360"/>
        <w:rPr>
          <w:sz w:val="34"/>
          <w:szCs w:val="34"/>
        </w:rPr>
      </w:pPr>
      <w:r>
        <w:rPr/>
        <mc:AlternateContent>
          <mc:Choice Requires="wps">
            <w:drawing>
              <wp:inline distT="0" distB="0" distL="0" distR="0">
                <wp:extent cx="5731510" cy="19050"/>
                <wp:effectExtent l="0" t="0" r="0" b="0"/>
                <wp:docPr id="1" name=""/>
                <a:graphic xmlns:a="http://schemas.openxmlformats.org/drawingml/2006/main">
                  <a:graphicData uri="http://schemas.microsoft.com/office/word/2010/wordprocessingShape">
                    <wps:wsp>
                      <wps:cNvSpPr/>
                      <wps:nvSpPr>
                        <wps:cNvPr id="0"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2"/>
        <w:keepNext w:val="false"/>
        <w:keepLines w:val="false"/>
        <w:spacing w:lineRule="auto" w:line="360" w:before="360" w:after="80"/>
        <w:rPr>
          <w:b/>
          <w:b/>
          <w:bCs/>
          <w:sz w:val="34"/>
          <w:szCs w:val="34"/>
        </w:rPr>
      </w:pPr>
      <w:bookmarkStart w:id="3" w:name="_nnw0t4cb1tw6"/>
      <w:bookmarkEnd w:id="3"/>
      <w:r>
        <w:rPr>
          <w:b/>
          <w:bCs/>
          <w:sz w:val="34"/>
          <w:szCs w:val="34"/>
        </w:rPr>
        <w:t>SECTION 2: MARKET ANALYSIS &amp; BENCHMARKING</w:t>
      </w:r>
    </w:p>
    <w:p>
      <w:pPr>
        <w:pStyle w:val="Normal1"/>
        <w:spacing w:lineRule="auto" w:line="360" w:before="240" w:after="240"/>
        <w:rPr>
          <w:sz w:val="34"/>
          <w:szCs w:val="34"/>
        </w:rPr>
      </w:pPr>
      <w:r>
        <w:rPr>
          <w:sz w:val="34"/>
          <w:szCs w:val="34"/>
        </w:rPr>
        <w:t>In determining appropriate compensation adjustments, we conduct comprehensive market analysis to ensure our offers remain competitive within the technology sector. The current economic environment for engineering talent presents both challenges and opportunities that inform our compensation strategy.</w:t>
      </w:r>
    </w:p>
    <w:p>
      <w:pPr>
        <w:pStyle w:val="Heading3"/>
        <w:keepNext w:val="false"/>
        <w:keepLines w:val="false"/>
        <w:spacing w:lineRule="auto" w:line="360" w:before="280" w:after="80"/>
        <w:rPr>
          <w:b/>
          <w:b/>
          <w:bCs/>
          <w:color w:val="000000"/>
          <w:sz w:val="34"/>
          <w:szCs w:val="34"/>
        </w:rPr>
      </w:pPr>
      <w:bookmarkStart w:id="4" w:name="_22dc9vu9lubo"/>
      <w:bookmarkEnd w:id="4"/>
      <w:r>
        <w:rPr>
          <w:b/>
          <w:bCs/>
          <w:color w:val="000000"/>
          <w:sz w:val="34"/>
          <w:szCs w:val="34"/>
        </w:rPr>
        <w:t>Industry Context</w:t>
      </w:r>
    </w:p>
    <w:p>
      <w:pPr>
        <w:pStyle w:val="Normal1"/>
        <w:spacing w:lineRule="auto" w:line="360" w:before="240" w:after="240"/>
        <w:rPr>
          <w:sz w:val="34"/>
          <w:szCs w:val="34"/>
        </w:rPr>
      </w:pPr>
      <w:r>
        <w:rPr>
          <w:sz w:val="34"/>
          <w:szCs w:val="34"/>
        </w:rPr>
        <w:t>Recent industry reports from Radford, Mercer, and Payscale indicate that engineering talent remains highly competitive, with average compensation increases of 6-8% across the sector for senior engineering roles similar to yours. The technology labor market in the Northeast region, particularly for backend infrastructure specialists, shows continued strong demand with a candidate-to-opening ratio of approximately 1:3.</w:t>
      </w:r>
    </w:p>
    <w:p>
      <w:pPr>
        <w:pStyle w:val="Normal1"/>
        <w:spacing w:lineRule="auto" w:line="360" w:before="240" w:after="240"/>
        <w:rPr>
          <w:sz w:val="34"/>
          <w:szCs w:val="34"/>
        </w:rPr>
      </w:pPr>
      <w:r>
        <w:rPr>
          <w:sz w:val="34"/>
          <w:szCs w:val="34"/>
        </w:rPr>
        <w:t>Our compensation philosophy emphasizes maintaining competitive positioning within the 65th-75th percentile of the regional market for engineering positions at your level. We have conducted benchmarking against 15 comparable organizations in the software-as-a-service sector, including both publicly traded companies and well-funded private enterprises of similar size and maturity.</w:t>
      </w:r>
    </w:p>
    <w:p>
      <w:pPr>
        <w:pStyle w:val="Heading3"/>
        <w:keepNext w:val="false"/>
        <w:keepLines w:val="false"/>
        <w:spacing w:lineRule="auto" w:line="360" w:before="280" w:after="80"/>
        <w:rPr>
          <w:b/>
          <w:b/>
          <w:bCs/>
          <w:color w:val="000000"/>
          <w:sz w:val="34"/>
          <w:szCs w:val="34"/>
        </w:rPr>
      </w:pPr>
      <w:bookmarkStart w:id="5" w:name="_xig7yyavgdzg"/>
      <w:bookmarkEnd w:id="5"/>
      <w:r>
        <w:rPr>
          <w:b/>
          <w:bCs/>
          <w:color w:val="000000"/>
          <w:sz w:val="34"/>
          <w:szCs w:val="34"/>
        </w:rPr>
        <w:t>Retention and Strategic Considerations</w:t>
      </w:r>
    </w:p>
    <w:p>
      <w:pPr>
        <w:pStyle w:val="Normal1"/>
        <w:spacing w:lineRule="auto" w:line="360" w:before="240" w:after="240"/>
        <w:rPr>
          <w:sz w:val="34"/>
          <w:szCs w:val="34"/>
        </w:rPr>
      </w:pPr>
      <w:r>
        <w:rPr>
          <w:sz w:val="34"/>
          <w:szCs w:val="34"/>
        </w:rPr>
        <w:t>High-performing senior engineers represent critical intellectual capital, and proactive compensation management is essential to retention strategy. Bureau of Labor Statistics data for the Boston metropolitan area indicates that software engineers with 5-7 years of experience and your specific skill set command median base compensation ranging from $145,000 to $165,000, with total compensation packages including bonuses and equity typically ranging from $175,000 to $210,000 annually.</w:t>
      </w:r>
    </w:p>
    <w:p>
      <w:pPr>
        <w:pStyle w:val="Normal1"/>
        <w:spacing w:lineRule="auto" w:line="360" w:before="240" w:after="240"/>
        <w:rPr>
          <w:sz w:val="34"/>
          <w:szCs w:val="34"/>
        </w:rPr>
      </w:pPr>
      <w:r>
        <w:rPr>
          <w:sz w:val="34"/>
          <w:szCs w:val="34"/>
        </w:rPr>
        <w:t>We have analyzed turnover patterns across the industry and recognize that engineers of your caliber receive frequent external opportunities. Our goal is to ensure that compensation, combined with career development opportunities and our strong engineering culture, provides compelling reasons to continue building your career with TechVenture Solutions.</w:t>
      </w:r>
    </w:p>
    <w:p>
      <w:pPr>
        <w:pStyle w:val="Normal1"/>
        <w:spacing w:lineRule="auto" w:line="360" w:before="240" w:after="240"/>
        <w:rPr>
          <w:sz w:val="34"/>
          <w:szCs w:val="34"/>
        </w:rPr>
      </w:pPr>
      <w:r>
        <w:rPr>
          <w:sz w:val="34"/>
          <w:szCs w:val="34"/>
        </w:rPr>
        <w:t>The company's commitment to competitive compensation extends beyond base salary to include performance bonuses, equity grants, professional development budgets, and comprehensive benefits packages. We regularly review our compensation structure to ensure alignment with market trends and organizational performance objectives.</w:t>
      </w:r>
    </w:p>
    <w:p>
      <w:pPr>
        <w:pStyle w:val="Normal1"/>
        <w:spacing w:lineRule="auto" w:line="360"/>
        <w:rPr>
          <w:sz w:val="34"/>
          <w:szCs w:val="34"/>
        </w:rPr>
      </w:pPr>
      <w:r>
        <w:rPr/>
        <mc:AlternateContent>
          <mc:Choice Requires="wps">
            <w:drawing>
              <wp:inline distT="0" distB="0" distL="0" distR="0">
                <wp:extent cx="5731510" cy="19050"/>
                <wp:effectExtent l="0" t="0" r="0" b="0"/>
                <wp:docPr id="2" name=""/>
                <a:graphic xmlns:a="http://schemas.openxmlformats.org/drawingml/2006/main">
                  <a:graphicData uri="http://schemas.microsoft.com/office/word/2010/wordprocessingShape">
                    <wps:wsp>
                      <wps:cNvSpPr/>
                      <wps:nvSpPr>
                        <wps:cNvPr id="1"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2"/>
        <w:keepNext w:val="false"/>
        <w:keepLines w:val="false"/>
        <w:spacing w:lineRule="auto" w:line="360" w:before="360" w:after="80"/>
        <w:rPr>
          <w:b/>
          <w:b/>
          <w:bCs/>
          <w:sz w:val="34"/>
          <w:szCs w:val="34"/>
        </w:rPr>
      </w:pPr>
      <w:bookmarkStart w:id="6" w:name="_7m2ec62mb6si"/>
      <w:bookmarkEnd w:id="6"/>
      <w:r>
        <w:rPr>
          <w:b/>
          <w:bCs/>
          <w:sz w:val="34"/>
          <w:szCs w:val="34"/>
        </w:rPr>
        <w:t>SECTION 3: PAYMENT DETAILS AND SCHEDULE</w:t>
      </w:r>
    </w:p>
    <w:p>
      <w:pPr>
        <w:pStyle w:val="Normal1"/>
        <w:spacing w:lineRule="auto" w:line="360" w:before="240" w:after="240"/>
        <w:rPr>
          <w:sz w:val="34"/>
          <w:szCs w:val="34"/>
        </w:rPr>
      </w:pPr>
      <w:r>
        <w:rPr>
          <w:sz w:val="34"/>
          <w:szCs w:val="34"/>
        </w:rPr>
        <w:t>Your approved annual performance bonus will be processed according to the following schedule and specifications:</w:t>
      </w:r>
    </w:p>
    <w:p>
      <w:pPr>
        <w:pStyle w:val="Normal1"/>
        <w:spacing w:lineRule="auto" w:line="360" w:before="240" w:after="240"/>
        <w:rPr>
          <w:sz w:val="34"/>
          <w:szCs w:val="34"/>
        </w:rPr>
      </w:pPr>
      <w:r>
        <w:rPr>
          <w:b/>
          <w:bCs/>
          <w:sz w:val="34"/>
          <w:szCs w:val="34"/>
        </w:rPr>
        <w:t>Payment Date:</w:t>
      </w:r>
      <w:r>
        <w:rPr>
          <w:sz w:val="34"/>
          <w:szCs w:val="34"/>
        </w:rPr>
        <w:t xml:space="preserve"> January 15, 2026 (included in first payroll of new fiscal year)</w:t>
      </w:r>
    </w:p>
    <w:p>
      <w:pPr>
        <w:pStyle w:val="Normal1"/>
        <w:spacing w:lineRule="auto" w:line="360" w:before="240" w:after="240"/>
        <w:rPr>
          <w:sz w:val="34"/>
          <w:szCs w:val="34"/>
        </w:rPr>
      </w:pPr>
      <w:r>
        <w:rPr>
          <w:b/>
          <w:bCs/>
          <w:sz w:val="34"/>
          <w:szCs w:val="34"/>
        </w:rPr>
        <w:t>Payment Method:</w:t>
      </w:r>
      <w:r>
        <w:rPr>
          <w:sz w:val="34"/>
          <w:szCs w:val="34"/>
        </w:rPr>
        <w:t xml:space="preserve"> Direct deposit to the bank account currently on file with Payroll Services</w:t>
      </w:r>
    </w:p>
    <w:p>
      <w:pPr>
        <w:pStyle w:val="Normal1"/>
        <w:spacing w:lineRule="auto" w:line="360" w:before="240" w:after="240"/>
        <w:rPr>
          <w:sz w:val="34"/>
          <w:szCs w:val="34"/>
        </w:rPr>
      </w:pPr>
      <w:r>
        <w:rPr>
          <w:b/>
          <w:bCs/>
          <w:sz w:val="34"/>
          <w:szCs w:val="34"/>
        </w:rPr>
        <w:t>Gross Amount:</w:t>
      </w:r>
      <w:r>
        <w:rPr>
          <w:sz w:val="34"/>
          <w:szCs w:val="34"/>
        </w:rPr>
        <w:t xml:space="preserve"> As specified in Section 1 above</w:t>
      </w:r>
    </w:p>
    <w:p>
      <w:pPr>
        <w:pStyle w:val="Normal1"/>
        <w:spacing w:lineRule="auto" w:line="360" w:before="240" w:after="240"/>
        <w:rPr>
          <w:sz w:val="34"/>
          <w:szCs w:val="34"/>
        </w:rPr>
      </w:pPr>
      <w:r>
        <w:rPr>
          <w:b/>
          <w:bCs/>
          <w:sz w:val="34"/>
          <w:szCs w:val="34"/>
        </w:rPr>
        <w:t>Tax Withholding:</w:t>
      </w:r>
      <w:r>
        <w:rPr>
          <w:sz w:val="34"/>
          <w:szCs w:val="34"/>
        </w:rPr>
        <w:t xml:space="preserve"> This bonus constitutes ordinary income and is subject to all applicable federal, state, and local tax withholding requirements. The gross amount will be reduced by approximately 31% for federal income tax, 5.3% for Massachusetts state income tax, 6.2% for Social Security tax (up to annual wage base limits), and 1.45% for Medicare tax. Your actual net payment will be reflected on your earnings statement and W-2 form for tax year 2026.</w:t>
      </w:r>
    </w:p>
    <w:p>
      <w:pPr>
        <w:pStyle w:val="Normal1"/>
        <w:spacing w:lineRule="auto" w:line="360" w:before="240" w:after="240"/>
        <w:rPr>
          <w:sz w:val="34"/>
          <w:szCs w:val="34"/>
        </w:rPr>
      </w:pPr>
      <w:r>
        <w:rPr>
          <w:b/>
          <w:bCs/>
          <w:sz w:val="34"/>
          <w:szCs w:val="34"/>
        </w:rPr>
        <w:t>Estimated Net Payment:</w:t>
      </w:r>
      <w:r>
        <w:rPr>
          <w:sz w:val="34"/>
          <w:szCs w:val="34"/>
        </w:rPr>
        <w:t xml:space="preserve"> Approximately 57% of gross amount after all withholdings, though actual net may vary based on your individual tax situation and any voluntary deductions such as 401(k) contributions, health insurance premiums, or flexible spending account allocations.</w:t>
      </w:r>
    </w:p>
    <w:p>
      <w:pPr>
        <w:pStyle w:val="Normal1"/>
        <w:spacing w:lineRule="auto" w:line="360" w:before="240" w:after="240"/>
        <w:rPr>
          <w:sz w:val="34"/>
          <w:szCs w:val="34"/>
        </w:rPr>
      </w:pPr>
      <w:r>
        <w:rPr>
          <w:b/>
          <w:bCs/>
          <w:sz w:val="34"/>
          <w:szCs w:val="34"/>
        </w:rPr>
        <w:t>Payment Confirmation:</w:t>
      </w:r>
      <w:r>
        <w:rPr>
          <w:sz w:val="34"/>
          <w:szCs w:val="34"/>
        </w:rPr>
        <w:t xml:space="preserve"> You will receive electronic notification via email on the payment date confirming the deposit, and the payment will be itemized separately on your earnings statement as "Annual Performance Bonus - FY2025."</w:t>
      </w:r>
    </w:p>
    <w:p>
      <w:pPr>
        <w:pStyle w:val="Normal1"/>
        <w:spacing w:lineRule="auto" w:line="360"/>
        <w:rPr>
          <w:sz w:val="34"/>
          <w:szCs w:val="34"/>
        </w:rPr>
      </w:pPr>
      <w:r>
        <w:rPr/>
        <mc:AlternateContent>
          <mc:Choice Requires="wps">
            <w:drawing>
              <wp:inline distT="0" distB="0" distL="0" distR="0">
                <wp:extent cx="5731510" cy="19050"/>
                <wp:effectExtent l="0" t="0" r="0" b="0"/>
                <wp:docPr id="3" name=""/>
                <a:graphic xmlns:a="http://schemas.openxmlformats.org/drawingml/2006/main">
                  <a:graphicData uri="http://schemas.microsoft.com/office/word/2010/wordprocessingShape">
                    <wps:wsp>
                      <wps:cNvSpPr/>
                      <wps:nvSpPr>
                        <wps:cNvPr id="2"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2"/>
        <w:keepNext w:val="false"/>
        <w:keepLines w:val="false"/>
        <w:spacing w:lineRule="auto" w:line="360" w:before="360" w:after="80"/>
        <w:rPr>
          <w:b/>
          <w:b/>
          <w:bCs/>
          <w:sz w:val="34"/>
          <w:szCs w:val="34"/>
        </w:rPr>
      </w:pPr>
      <w:bookmarkStart w:id="7" w:name="_eajboclc70dh"/>
      <w:bookmarkEnd w:id="7"/>
      <w:r>
        <w:rPr>
          <w:b/>
          <w:bCs/>
          <w:sz w:val="34"/>
          <w:szCs w:val="34"/>
        </w:rPr>
        <w:t>SECTION 4: TERMS AND CONDITIONS</w:t>
      </w:r>
    </w:p>
    <w:p>
      <w:pPr>
        <w:pStyle w:val="Normal1"/>
        <w:spacing w:lineRule="auto" w:line="360" w:before="240" w:after="240"/>
        <w:rPr>
          <w:sz w:val="34"/>
          <w:szCs w:val="34"/>
        </w:rPr>
      </w:pPr>
      <w:r>
        <w:rPr>
          <w:sz w:val="34"/>
          <w:szCs w:val="34"/>
        </w:rPr>
        <w:t>This bonus payment is subject to the following terms and conditions, which constitute a binding agreement between you and TechVenture Solutions, Inc.:</w:t>
      </w:r>
    </w:p>
    <w:p>
      <w:pPr>
        <w:pStyle w:val="Heading3"/>
        <w:keepNext w:val="false"/>
        <w:keepLines w:val="false"/>
        <w:spacing w:lineRule="auto" w:line="360" w:before="280" w:after="80"/>
        <w:rPr>
          <w:b/>
          <w:b/>
          <w:bCs/>
          <w:color w:val="000000"/>
          <w:sz w:val="34"/>
          <w:szCs w:val="34"/>
        </w:rPr>
      </w:pPr>
      <w:bookmarkStart w:id="8" w:name="_u693g8vvl6nj"/>
      <w:bookmarkEnd w:id="8"/>
      <w:r>
        <w:rPr>
          <w:b/>
          <w:bCs/>
          <w:color w:val="000000"/>
          <w:sz w:val="34"/>
          <w:szCs w:val="34"/>
        </w:rPr>
        <w:t>Eligibility and Employment Status</w:t>
      </w:r>
    </w:p>
    <w:p>
      <w:pPr>
        <w:pStyle w:val="Normal1"/>
        <w:spacing w:lineRule="auto" w:line="360" w:before="240" w:after="240"/>
        <w:rPr>
          <w:sz w:val="34"/>
          <w:szCs w:val="34"/>
        </w:rPr>
      </w:pPr>
      <w:r>
        <w:rPr>
          <w:sz w:val="34"/>
          <w:szCs w:val="34"/>
        </w:rPr>
        <w:t>Payment of this bonus is contingent upon your continued employment with TechVenture Solutions through the payment date of January 15, 2026. If your employment terminates for any reason prior to the payment date, whether voluntary or involuntary, you forfeit all rights to receive this bonus payment. This includes termination for cause, resignation, retirement, or separation due to workforce reduction. Employees on approved leave of absence (FMLA, medical leave, or sabbatical) remain eligible provided they return to active employment status by the payment date.</w:t>
      </w:r>
    </w:p>
    <w:p>
      <w:pPr>
        <w:pStyle w:val="Heading3"/>
        <w:keepNext w:val="false"/>
        <w:keepLines w:val="false"/>
        <w:spacing w:lineRule="auto" w:line="360" w:before="280" w:after="80"/>
        <w:rPr>
          <w:b/>
          <w:b/>
          <w:bCs/>
          <w:color w:val="000000"/>
          <w:sz w:val="34"/>
          <w:szCs w:val="34"/>
        </w:rPr>
      </w:pPr>
      <w:bookmarkStart w:id="9" w:name="_23ul64gccfrp"/>
      <w:bookmarkEnd w:id="9"/>
      <w:r>
        <w:rPr>
          <w:b/>
          <w:bCs/>
          <w:color w:val="000000"/>
          <w:sz w:val="34"/>
          <w:szCs w:val="34"/>
        </w:rPr>
        <w:t>Discretionary Nature</w:t>
      </w:r>
    </w:p>
    <w:p>
      <w:pPr>
        <w:pStyle w:val="Normal1"/>
        <w:spacing w:lineRule="auto" w:line="360" w:before="240" w:after="240"/>
        <w:rPr>
          <w:sz w:val="34"/>
          <w:szCs w:val="34"/>
        </w:rPr>
      </w:pPr>
      <w:r>
        <w:rPr>
          <w:sz w:val="34"/>
          <w:szCs w:val="34"/>
        </w:rPr>
        <w:t>This bonus payment is discretionary and based solely on fiscal year 2025 performance. It does not create any expectation, promise, or guarantee of similar payments in future years. Annual bonus determinations are made based on individual performance, department results, and overall company financial performance, and may vary significantly from year to year or may not be awarded at all in subsequent years.</w:t>
      </w:r>
    </w:p>
    <w:p>
      <w:pPr>
        <w:pStyle w:val="Heading3"/>
        <w:keepNext w:val="false"/>
        <w:keepLines w:val="false"/>
        <w:spacing w:lineRule="auto" w:line="360" w:before="280" w:after="80"/>
        <w:rPr>
          <w:b/>
          <w:b/>
          <w:bCs/>
          <w:color w:val="000000"/>
          <w:sz w:val="34"/>
          <w:szCs w:val="34"/>
        </w:rPr>
      </w:pPr>
      <w:bookmarkStart w:id="10" w:name="_6zqoyf7vu4hh"/>
      <w:bookmarkEnd w:id="10"/>
      <w:r>
        <w:rPr>
          <w:b/>
          <w:bCs/>
          <w:color w:val="000000"/>
          <w:sz w:val="34"/>
          <w:szCs w:val="34"/>
        </w:rPr>
        <w:t>Non-Solicitation Covenant</w:t>
      </w:r>
    </w:p>
    <w:p>
      <w:pPr>
        <w:pStyle w:val="Normal1"/>
        <w:spacing w:lineRule="auto" w:line="360" w:before="240" w:after="240"/>
        <w:rPr>
          <w:sz w:val="34"/>
          <w:szCs w:val="34"/>
        </w:rPr>
      </w:pPr>
      <w:r>
        <w:rPr>
          <w:sz w:val="34"/>
          <w:szCs w:val="34"/>
        </w:rPr>
        <w:t>As a condition of receiving this bonus, you reaffirm your commitment to the non-solicitation provisions outlined in your original employment agreement dated March 15, 2021. For a period of twelve months following any termination of employment, you agree not to directly or indirectly solicit, recruit, or encourage any TechVenture Solutions employee to leave the company or to accept employment with any competing organization. This includes employees you managed, worked with, or had professional contact with during your tenure.</w:t>
      </w:r>
    </w:p>
    <w:p>
      <w:pPr>
        <w:pStyle w:val="Heading3"/>
        <w:keepNext w:val="false"/>
        <w:keepLines w:val="false"/>
        <w:spacing w:lineRule="auto" w:line="360" w:before="280" w:after="80"/>
        <w:rPr>
          <w:b/>
          <w:b/>
          <w:bCs/>
          <w:color w:val="000000"/>
          <w:sz w:val="34"/>
          <w:szCs w:val="34"/>
        </w:rPr>
      </w:pPr>
      <w:bookmarkStart w:id="11" w:name="_83zbu74r8q5m"/>
      <w:bookmarkEnd w:id="11"/>
      <w:r>
        <w:rPr>
          <w:b/>
          <w:bCs/>
          <w:color w:val="000000"/>
          <w:sz w:val="34"/>
          <w:szCs w:val="34"/>
        </w:rPr>
        <w:t>Intellectual Property Rights</w:t>
      </w:r>
    </w:p>
    <w:p>
      <w:pPr>
        <w:pStyle w:val="Normal1"/>
        <w:spacing w:lineRule="auto" w:line="360" w:before="240" w:after="240"/>
        <w:rPr>
          <w:sz w:val="34"/>
          <w:szCs w:val="34"/>
        </w:rPr>
      </w:pPr>
      <w:r>
        <w:rPr>
          <w:sz w:val="34"/>
          <w:szCs w:val="34"/>
        </w:rPr>
        <w:t>All work product, inventions, discoveries, and intellectual property created during your employment, including those contributions specifically recognized in this performance review, remain the exclusive property of TechVenture Solutions, Inc. This bonus payment does not convey any ownership rights, royalty interests, or licensing rights in company intellectual property, including but not limited to the Quantum-Alpha architecture, associated documentation, code repositories, or derivative works.</w:t>
      </w:r>
    </w:p>
    <w:p>
      <w:pPr>
        <w:pStyle w:val="Heading3"/>
        <w:keepNext w:val="false"/>
        <w:keepLines w:val="false"/>
        <w:spacing w:lineRule="auto" w:line="360" w:before="280" w:after="80"/>
        <w:rPr>
          <w:b/>
          <w:b/>
          <w:bCs/>
          <w:color w:val="000000"/>
          <w:sz w:val="34"/>
          <w:szCs w:val="34"/>
        </w:rPr>
      </w:pPr>
      <w:bookmarkStart w:id="12" w:name="_ozaxpvey74qe"/>
      <w:bookmarkEnd w:id="12"/>
      <w:r>
        <w:rPr>
          <w:b/>
          <w:bCs/>
          <w:color w:val="000000"/>
          <w:sz w:val="34"/>
          <w:szCs w:val="34"/>
        </w:rPr>
        <w:t>Repayment Obligations</w:t>
      </w:r>
    </w:p>
    <w:p>
      <w:pPr>
        <w:pStyle w:val="Normal1"/>
        <w:spacing w:lineRule="auto" w:line="360" w:before="240" w:after="240"/>
        <w:rPr>
          <w:sz w:val="34"/>
          <w:szCs w:val="34"/>
        </w:rPr>
      </w:pPr>
      <w:r>
        <w:rPr>
          <w:sz w:val="34"/>
          <w:szCs w:val="34"/>
        </w:rPr>
        <w:t>In the event that the company determines that financial results upon which this bonus was calculated are subsequently restated due to material accounting errors, fraud, or other irregularities, the company reserves the right to seek repayment of all or a portion of this bonus. Similarly, if you are found to have engaged in misconduct, policy violations, or ethical breaches that occurred during the performance period but were discovered after bonus payment, you may be required to repay the full amount.</w:t>
      </w:r>
    </w:p>
    <w:p>
      <w:pPr>
        <w:pStyle w:val="Heading3"/>
        <w:keepNext w:val="false"/>
        <w:keepLines w:val="false"/>
        <w:spacing w:lineRule="auto" w:line="360" w:before="280" w:after="80"/>
        <w:rPr>
          <w:b/>
          <w:b/>
          <w:bCs/>
          <w:color w:val="000000"/>
          <w:sz w:val="34"/>
          <w:szCs w:val="34"/>
        </w:rPr>
      </w:pPr>
      <w:bookmarkStart w:id="13" w:name="_ivay887gkplp"/>
      <w:bookmarkEnd w:id="13"/>
      <w:r>
        <w:rPr>
          <w:b/>
          <w:bCs/>
          <w:color w:val="000000"/>
          <w:sz w:val="34"/>
          <w:szCs w:val="34"/>
        </w:rPr>
        <w:t>Arbitration Agreement</w:t>
      </w:r>
    </w:p>
    <w:p>
      <w:pPr>
        <w:pStyle w:val="Normal1"/>
        <w:spacing w:lineRule="auto" w:line="360" w:before="240" w:after="240"/>
        <w:rPr>
          <w:sz w:val="34"/>
          <w:szCs w:val="34"/>
        </w:rPr>
      </w:pPr>
      <w:r>
        <w:rPr>
          <w:sz w:val="34"/>
          <w:szCs w:val="34"/>
        </w:rPr>
        <w:t>Any disputes arising from this bonus payment or the terms outlined in this letter shall be resolved through binding arbitration in accordance with the Commercial Arbitration Rules of the American Arbitration Association. Both parties waive the right to jury trial and agree that arbitration shall take place in Boston, Massachusetts. The arbitrator's decision shall be final and binding, and judgment upon the award may be entered in any court having jurisdiction.</w:t>
      </w:r>
    </w:p>
    <w:p>
      <w:pPr>
        <w:pStyle w:val="Heading3"/>
        <w:keepNext w:val="false"/>
        <w:keepLines w:val="false"/>
        <w:spacing w:lineRule="auto" w:line="360" w:before="280" w:after="80"/>
        <w:rPr>
          <w:b/>
          <w:b/>
          <w:bCs/>
          <w:color w:val="000000"/>
          <w:sz w:val="34"/>
          <w:szCs w:val="34"/>
        </w:rPr>
      </w:pPr>
      <w:bookmarkStart w:id="14" w:name="_vrtgav8q2rhh"/>
      <w:bookmarkEnd w:id="14"/>
      <w:r>
        <w:rPr>
          <w:b/>
          <w:bCs/>
          <w:color w:val="000000"/>
          <w:sz w:val="34"/>
          <w:szCs w:val="34"/>
        </w:rPr>
        <w:t>Governing Law and Venue</w:t>
      </w:r>
    </w:p>
    <w:p>
      <w:pPr>
        <w:pStyle w:val="Normal1"/>
        <w:spacing w:lineRule="auto" w:line="360" w:before="240" w:after="240"/>
        <w:rPr>
          <w:sz w:val="34"/>
          <w:szCs w:val="34"/>
        </w:rPr>
      </w:pPr>
      <w:r>
        <w:rPr>
          <w:sz w:val="34"/>
          <w:szCs w:val="34"/>
        </w:rPr>
        <w:t>This agreement shall be governed by and construed in accordance with the laws of the Commonwealth of Massachusetts for procedural matters and the State of Delaware for substantive corporate governance matters, without regard to conflicts of law principles. The exclusive venue for any legal proceedings related to this agreement, should they not be subject to arbitration, shall be the state or federal courts located in Suffolk County, Massachusetts.</w:t>
      </w:r>
    </w:p>
    <w:p>
      <w:pPr>
        <w:pStyle w:val="Heading3"/>
        <w:keepNext w:val="false"/>
        <w:keepLines w:val="false"/>
        <w:spacing w:lineRule="auto" w:line="360" w:before="280" w:after="80"/>
        <w:rPr>
          <w:b/>
          <w:b/>
          <w:bCs/>
          <w:color w:val="000000"/>
          <w:sz w:val="34"/>
          <w:szCs w:val="34"/>
        </w:rPr>
      </w:pPr>
      <w:bookmarkStart w:id="15" w:name="_elcg196pehbg"/>
      <w:bookmarkEnd w:id="15"/>
      <w:r>
        <w:rPr>
          <w:b/>
          <w:bCs/>
          <w:color w:val="000000"/>
          <w:sz w:val="34"/>
          <w:szCs w:val="34"/>
        </w:rPr>
        <w:t>Severability</w:t>
      </w:r>
    </w:p>
    <w:p>
      <w:pPr>
        <w:pStyle w:val="Normal1"/>
        <w:spacing w:lineRule="auto" w:line="360" w:before="240" w:after="240"/>
        <w:rPr>
          <w:sz w:val="34"/>
          <w:szCs w:val="34"/>
        </w:rPr>
      </w:pPr>
      <w:r>
        <w:rPr>
          <w:sz w:val="34"/>
          <w:szCs w:val="34"/>
        </w:rPr>
        <w:t>If any provision of this agreement is found to be invalid, illegal, or unenforceable by a court of competent jurisdiction, such provision shall be modified to the minimum extent necessary to make it valid and enforceable, or if such modification is not possible, the provision shall be severed from this agreement. The remaining provisions shall continue in full force and effect.</w:t>
      </w:r>
    </w:p>
    <w:p>
      <w:pPr>
        <w:pStyle w:val="Heading3"/>
        <w:keepNext w:val="false"/>
        <w:keepLines w:val="false"/>
        <w:spacing w:lineRule="auto" w:line="360" w:before="280" w:after="80"/>
        <w:rPr>
          <w:b/>
          <w:b/>
          <w:bCs/>
          <w:color w:val="000000"/>
          <w:sz w:val="34"/>
          <w:szCs w:val="34"/>
        </w:rPr>
      </w:pPr>
      <w:bookmarkStart w:id="16" w:name="_gc706rhkl8j4"/>
      <w:bookmarkEnd w:id="16"/>
      <w:r>
        <w:rPr>
          <w:b/>
          <w:bCs/>
          <w:color w:val="000000"/>
          <w:sz w:val="34"/>
          <w:szCs w:val="34"/>
        </w:rPr>
        <w:t>Entire Agreement</w:t>
      </w:r>
    </w:p>
    <w:p>
      <w:pPr>
        <w:pStyle w:val="Normal1"/>
        <w:spacing w:lineRule="auto" w:line="360" w:before="240" w:after="240"/>
        <w:rPr>
          <w:sz w:val="34"/>
          <w:szCs w:val="34"/>
        </w:rPr>
      </w:pPr>
      <w:r>
        <w:rPr>
          <w:sz w:val="34"/>
          <w:szCs w:val="34"/>
        </w:rPr>
        <w:t>This letter, together with your original employment agreement dated March 15, 2021, the TechVenture Solutions Employee Handbook (Revised January 2025), your signed Confidentiality and Intellectual Property Agreement, and any applicable equity grant documents, constitutes the entire agreement between you and the company regarding this bonus payment and supersedes all prior discussions, negotiations, representations, or agreements, whether written or oral.</w:t>
      </w:r>
    </w:p>
    <w:p>
      <w:pPr>
        <w:pStyle w:val="Normal1"/>
        <w:spacing w:lineRule="auto" w:line="360"/>
        <w:rPr>
          <w:sz w:val="34"/>
          <w:szCs w:val="34"/>
        </w:rPr>
      </w:pPr>
      <w:r>
        <w:rPr/>
        <mc:AlternateContent>
          <mc:Choice Requires="wps">
            <w:drawing>
              <wp:inline distT="0" distB="0" distL="0" distR="0">
                <wp:extent cx="5731510" cy="19050"/>
                <wp:effectExtent l="0" t="0" r="0" b="0"/>
                <wp:docPr id="4" name=""/>
                <a:graphic xmlns:a="http://schemas.openxmlformats.org/drawingml/2006/main">
                  <a:graphicData uri="http://schemas.microsoft.com/office/word/2010/wordprocessingShape">
                    <wps:wsp>
                      <wps:cNvSpPr/>
                      <wps:nvSpPr>
                        <wps:cNvPr id="3"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Heading2"/>
        <w:keepNext w:val="false"/>
        <w:keepLines w:val="false"/>
        <w:spacing w:lineRule="auto" w:line="360" w:before="360" w:after="80"/>
        <w:rPr>
          <w:b/>
          <w:b/>
          <w:bCs/>
          <w:sz w:val="34"/>
          <w:szCs w:val="34"/>
        </w:rPr>
      </w:pPr>
      <w:bookmarkStart w:id="17" w:name="_fk5joklxpom3"/>
      <w:bookmarkEnd w:id="17"/>
      <w:r>
        <w:rPr>
          <w:b/>
          <w:bCs/>
          <w:sz w:val="34"/>
          <w:szCs w:val="34"/>
        </w:rPr>
        <w:t>SECTION 5: FUTURE GROWTH ROADMAP AND CAREER DEVELOPMENT</w:t>
      </w:r>
    </w:p>
    <w:p>
      <w:pPr>
        <w:pStyle w:val="Normal1"/>
        <w:spacing w:lineRule="auto" w:line="360" w:before="240" w:after="240"/>
        <w:rPr>
          <w:sz w:val="34"/>
          <w:szCs w:val="34"/>
        </w:rPr>
      </w:pPr>
      <w:r>
        <w:rPr>
          <w:sz w:val="34"/>
          <w:szCs w:val="34"/>
        </w:rPr>
        <w:t>Looking ahead to fiscal year 2026 and beyond, we want to provide clear guidance on your career trajectory within TechVenture Solutions. Your expressed aspiration to advance from Senior Engineer to Lead Architect is both achievable and strategically aligned with our organizational needs and technology roadmap.</w:t>
      </w:r>
    </w:p>
    <w:p>
      <w:pPr>
        <w:pStyle w:val="Heading3"/>
        <w:keepNext w:val="false"/>
        <w:keepLines w:val="false"/>
        <w:spacing w:lineRule="auto" w:line="360" w:before="280" w:after="80"/>
        <w:rPr>
          <w:b/>
          <w:b/>
          <w:bCs/>
          <w:color w:val="000000"/>
          <w:sz w:val="34"/>
          <w:szCs w:val="34"/>
        </w:rPr>
      </w:pPr>
      <w:bookmarkStart w:id="18" w:name="_lyrnqn8jwq5y"/>
      <w:bookmarkEnd w:id="18"/>
      <w:r>
        <w:rPr>
          <w:rFonts w:eastAsia="Arial Unicode MS" w:cs="Arial Unicode MS" w:ascii="Arial Unicode MS" w:hAnsi="Arial Unicode MS"/>
          <w:b/>
          <w:bCs/>
          <w:color w:val="000000"/>
          <w:sz w:val="34"/>
          <w:szCs w:val="34"/>
        </w:rPr>
        <w:t>Career Path: Senior Engineer → Lead Architect (Target: Q3 2027)</w:t>
      </w:r>
    </w:p>
    <w:p>
      <w:pPr>
        <w:pStyle w:val="Normal1"/>
        <w:spacing w:lineRule="auto" w:line="360" w:before="240" w:after="240"/>
        <w:rPr>
          <w:b/>
          <w:b/>
          <w:bCs/>
          <w:sz w:val="34"/>
          <w:szCs w:val="34"/>
        </w:rPr>
      </w:pPr>
      <w:r>
        <w:rPr>
          <w:b/>
          <w:bCs/>
          <w:sz w:val="34"/>
          <w:szCs w:val="34"/>
        </w:rPr>
        <w:t>Phase 1: Technical Depth Enhancement (Q1-Q2 2026)</w:t>
      </w:r>
    </w:p>
    <w:p>
      <w:pPr>
        <w:pStyle w:val="Normal1"/>
        <w:spacing w:lineRule="auto" w:line="360" w:before="240" w:after="240"/>
        <w:rPr>
          <w:sz w:val="34"/>
          <w:szCs w:val="34"/>
        </w:rPr>
      </w:pPr>
      <w:r>
        <w:rPr>
          <w:sz w:val="34"/>
          <w:szCs w:val="34"/>
        </w:rPr>
        <w:t>Focus on expanding expertise in distributed systems architecture, microservices design patterns, event-driven architectures, and cloud-native technologies. We will sponsor your attendance at three major industry conferences: AWS re:Invent (Las Vegas, November 2026), KubeCon + CloudNativeCon North America (Detroit, October 2026), and Strange Loop (St. Louis, September 2026).</w:t>
      </w:r>
    </w:p>
    <w:p>
      <w:pPr>
        <w:pStyle w:val="Normal1"/>
        <w:spacing w:lineRule="auto" w:line="360" w:before="240" w:after="240"/>
        <w:rPr>
          <w:sz w:val="34"/>
          <w:szCs w:val="34"/>
        </w:rPr>
      </w:pPr>
      <w:r>
        <w:rPr>
          <w:sz w:val="34"/>
          <w:szCs w:val="34"/>
        </w:rPr>
        <w:t>Additionally, the company will fund certification preparation and examination fees for AWS Solutions Architect Professional and Google Cloud Professional Cloud Architect certifications. We will also provide access to O'Reilly Learning Platform, Pluralsight, and A Cloud Guru for self-paced technical training.</w:t>
      </w:r>
    </w:p>
    <w:p>
      <w:pPr>
        <w:pStyle w:val="Normal1"/>
        <w:spacing w:lineRule="auto" w:line="360" w:before="240" w:after="240"/>
        <w:rPr>
          <w:sz w:val="34"/>
          <w:szCs w:val="34"/>
        </w:rPr>
      </w:pPr>
      <w:r>
        <w:rPr>
          <w:sz w:val="34"/>
          <w:szCs w:val="34"/>
        </w:rPr>
        <w:t>Budget allocation for Phase 1: $8,500 for conferences, travel, and certification programs.</w:t>
      </w:r>
    </w:p>
    <w:p>
      <w:pPr>
        <w:pStyle w:val="Normal1"/>
        <w:spacing w:lineRule="auto" w:line="360" w:before="240" w:after="240"/>
        <w:rPr>
          <w:b/>
          <w:b/>
          <w:bCs/>
          <w:sz w:val="34"/>
          <w:szCs w:val="34"/>
        </w:rPr>
      </w:pPr>
      <w:r>
        <w:rPr>
          <w:b/>
          <w:bCs/>
          <w:sz w:val="34"/>
          <w:szCs w:val="34"/>
        </w:rPr>
        <w:t>Phase 2: Leadership Expansion and Cross-Functional Impact (Q3-Q4 2026)</w:t>
      </w:r>
    </w:p>
    <w:p>
      <w:pPr>
        <w:pStyle w:val="Normal1"/>
        <w:spacing w:lineRule="auto" w:line="360" w:before="240" w:after="240"/>
        <w:rPr>
          <w:sz w:val="34"/>
          <w:szCs w:val="34"/>
        </w:rPr>
      </w:pPr>
      <w:r>
        <w:rPr>
          <w:sz w:val="34"/>
          <w:szCs w:val="34"/>
        </w:rPr>
        <w:t>Take ownership of "Project Phoenix," our next-generation customer data platform initiative. This project will involve leading a team of 12-15 engineers distributed across Boston, Austin, and remote locations in three time zones. You will be responsible for architectural decisions, resource allocation, sprint planning, stakeholder communication, and delivery of key milestones aligned with Q4 2026 and Q1 2027 product launches.</w:t>
      </w:r>
    </w:p>
    <w:p>
      <w:pPr>
        <w:pStyle w:val="Normal1"/>
        <w:spacing w:lineRule="auto" w:line="360" w:before="240" w:after="240"/>
        <w:rPr>
          <w:sz w:val="34"/>
          <w:szCs w:val="34"/>
        </w:rPr>
      </w:pPr>
      <w:r>
        <w:rPr>
          <w:sz w:val="34"/>
          <w:szCs w:val="34"/>
        </w:rPr>
        <w:t>This phase will provide direct experience in stakeholder management at the director and VP level, budget management for engineering resources, vendor evaluation and selection, and strategic technical decision-making that balances innovation with pragmatic business constraints. You will present monthly progress updates to the executive leadership team and quarterly updates to the Board of Directors' Technology Committee.</w:t>
      </w:r>
    </w:p>
    <w:p>
      <w:pPr>
        <w:pStyle w:val="Normal1"/>
        <w:spacing w:lineRule="auto" w:line="360" w:before="240" w:after="240"/>
        <w:rPr>
          <w:sz w:val="34"/>
          <w:szCs w:val="34"/>
        </w:rPr>
      </w:pPr>
      <w:r>
        <w:rPr>
          <w:sz w:val="34"/>
          <w:szCs w:val="34"/>
        </w:rPr>
        <w:t>Success in Project Phoenix will demonstrate your readiness for the Lead Architect role by proving your ability to operate effectively at a larger scale of responsibility and organizational influence.</w:t>
      </w:r>
    </w:p>
    <w:p>
      <w:pPr>
        <w:pStyle w:val="Normal1"/>
        <w:spacing w:lineRule="auto" w:line="360" w:before="240" w:after="240"/>
        <w:rPr>
          <w:b/>
          <w:b/>
          <w:bCs/>
          <w:sz w:val="34"/>
          <w:szCs w:val="34"/>
        </w:rPr>
      </w:pPr>
      <w:r>
        <w:rPr>
          <w:b/>
          <w:bCs/>
          <w:sz w:val="34"/>
          <w:szCs w:val="34"/>
        </w:rPr>
        <w:t>Phase 3: Architectural Vision and Strategic Influence (Q1-Q2 2027)</w:t>
      </w:r>
    </w:p>
    <w:p>
      <w:pPr>
        <w:pStyle w:val="Normal1"/>
        <w:spacing w:lineRule="auto" w:line="360" w:before="240" w:after="240"/>
        <w:rPr>
          <w:sz w:val="34"/>
          <w:szCs w:val="34"/>
        </w:rPr>
      </w:pPr>
      <w:r>
        <w:rPr>
          <w:sz w:val="34"/>
          <w:szCs w:val="34"/>
        </w:rPr>
        <w:t>Develop and present comprehensive architectural proposals for our 2028-2030 technology roadmap. This will include evaluation of emerging technologies, assessment of technical debt reduction strategies, scalability planning for 10x growth scenarios, and security architecture evolution to meet compliance requirements in regulated industries.</w:t>
      </w:r>
    </w:p>
    <w:p>
      <w:pPr>
        <w:pStyle w:val="Normal1"/>
        <w:spacing w:lineRule="auto" w:line="360" w:before="240" w:after="240"/>
        <w:rPr>
          <w:sz w:val="34"/>
          <w:szCs w:val="34"/>
        </w:rPr>
      </w:pPr>
      <w:r>
        <w:rPr>
          <w:sz w:val="34"/>
          <w:szCs w:val="34"/>
        </w:rPr>
        <w:t>You will participate in executive strategy sessions alongside the CTO, VP of Engineering, and VP of Product to represent engineering perspectives in board-level discussions about technology investment priorities, build-versus-buy decisions, and potential acquisitions or partnerships that have technical implications.</w:t>
      </w:r>
    </w:p>
    <w:p>
      <w:pPr>
        <w:pStyle w:val="Normal1"/>
        <w:spacing w:lineRule="auto" w:line="360" w:before="240" w:after="240"/>
        <w:rPr>
          <w:sz w:val="34"/>
          <w:szCs w:val="34"/>
        </w:rPr>
      </w:pPr>
      <w:r>
        <w:rPr>
          <w:sz w:val="34"/>
          <w:szCs w:val="34"/>
        </w:rPr>
        <w:t>This phase includes mentoring of senior engineers who aspire to follow your career path, contribution to engineering hiring processes at the senior and staff levels, and public representation of TechVenture Solutions' engineering brand through conference speaking, technical blog posts, podcast appearances, or open-source contributions.</w:t>
      </w:r>
    </w:p>
    <w:p>
      <w:pPr>
        <w:pStyle w:val="Heading3"/>
        <w:keepNext w:val="false"/>
        <w:keepLines w:val="false"/>
        <w:spacing w:lineRule="auto" w:line="360" w:before="280" w:after="80"/>
        <w:rPr>
          <w:b/>
          <w:b/>
          <w:bCs/>
          <w:color w:val="000000"/>
          <w:sz w:val="34"/>
          <w:szCs w:val="34"/>
        </w:rPr>
      </w:pPr>
      <w:bookmarkStart w:id="19" w:name="_hrws70r10lyq"/>
      <w:bookmarkEnd w:id="19"/>
      <w:r>
        <w:rPr>
          <w:b/>
          <w:bCs/>
          <w:color w:val="000000"/>
          <w:sz w:val="34"/>
          <w:szCs w:val="34"/>
        </w:rPr>
        <w:t>Success Criteria for Promotion to Lead Architect</w:t>
      </w:r>
    </w:p>
    <w:p>
      <w:pPr>
        <w:pStyle w:val="Normal1"/>
        <w:spacing w:lineRule="auto" w:line="360" w:before="240" w:after="240"/>
        <w:rPr>
          <w:sz w:val="34"/>
          <w:szCs w:val="34"/>
        </w:rPr>
      </w:pPr>
      <w:r>
        <w:rPr>
          <w:sz w:val="34"/>
          <w:szCs w:val="34"/>
        </w:rPr>
        <w:t>To be considered for promotion to Lead Architect in Q3 2027, you will need to demonstrate achievement across multiple dimensions:</w:t>
      </w:r>
    </w:p>
    <w:p>
      <w:pPr>
        <w:pStyle w:val="Normal1"/>
        <w:spacing w:lineRule="auto" w:line="360" w:before="240" w:after="240"/>
        <w:rPr>
          <w:sz w:val="34"/>
          <w:szCs w:val="34"/>
        </w:rPr>
      </w:pPr>
      <w:r>
        <w:rPr>
          <w:b/>
          <w:bCs/>
          <w:sz w:val="34"/>
          <w:szCs w:val="34"/>
        </w:rPr>
        <w:t>Technical Leadership:</w:t>
      </w:r>
      <w:r>
        <w:rPr>
          <w:sz w:val="34"/>
          <w:szCs w:val="34"/>
        </w:rPr>
        <w:t xml:space="preserve"> Successful delivery of Project Phoenix with measurable business impact including user adoption metrics, performance benchmarks, and cost efficiency improvements. The project must launch on schedule, within budget, and meet all defined acceptance criteria.</w:t>
      </w:r>
    </w:p>
    <w:p>
      <w:pPr>
        <w:pStyle w:val="Normal1"/>
        <w:spacing w:lineRule="auto" w:line="360" w:before="240" w:after="240"/>
        <w:rPr>
          <w:sz w:val="34"/>
          <w:szCs w:val="34"/>
        </w:rPr>
      </w:pPr>
      <w:r>
        <w:rPr>
          <w:b/>
          <w:bCs/>
          <w:sz w:val="34"/>
          <w:szCs w:val="34"/>
        </w:rPr>
        <w:t>Thought Leadership:</w:t>
      </w:r>
      <w:r>
        <w:rPr>
          <w:sz w:val="34"/>
          <w:szCs w:val="34"/>
        </w:rPr>
        <w:t xml:space="preserve"> Published technical content demonstrating expertise and representing the company's engineering brand. This may include: two or more conference presentations at recognized industry events, four or more substantive technical blog posts on the company engineering blog, meaningful contributions to open-source projects that reflect well on TechVenture Solutions, or publication in industry journals or technical magazines.</w:t>
      </w:r>
    </w:p>
    <w:p>
      <w:pPr>
        <w:pStyle w:val="Normal1"/>
        <w:spacing w:lineRule="auto" w:line="360" w:before="240" w:after="240"/>
        <w:rPr>
          <w:sz w:val="34"/>
          <w:szCs w:val="34"/>
        </w:rPr>
      </w:pPr>
      <w:r>
        <w:rPr>
          <w:b/>
          <w:bCs/>
          <w:sz w:val="34"/>
          <w:szCs w:val="34"/>
        </w:rPr>
        <w:t>Organizational Influence:</w:t>
      </w:r>
      <w:r>
        <w:rPr>
          <w:sz w:val="34"/>
          <w:szCs w:val="34"/>
        </w:rPr>
        <w:t xml:space="preserve"> Demonstrated ability to influence technical decisions across multiple departments including Product, DevOps, Security, Data Science, and Customer Success. Evidence may include successful RFC (Request for Comments) proposals, cross-functional working group leadership, or documented impact on company-wide technical standards and practices.</w:t>
      </w:r>
    </w:p>
    <w:p>
      <w:pPr>
        <w:pStyle w:val="Normal1"/>
        <w:spacing w:lineRule="auto" w:line="360" w:before="240" w:after="240"/>
        <w:rPr>
          <w:sz w:val="34"/>
          <w:szCs w:val="34"/>
        </w:rPr>
      </w:pPr>
      <w:r>
        <w:rPr>
          <w:b/>
          <w:bCs/>
          <w:sz w:val="34"/>
          <w:szCs w:val="34"/>
        </w:rPr>
        <w:t>People Development:</w:t>
      </w:r>
      <w:r>
        <w:rPr>
          <w:sz w:val="34"/>
          <w:szCs w:val="34"/>
        </w:rPr>
        <w:t xml:space="preserve"> Positive 360-degree feedback from peers, direct reports, and executive leadership indicating strong collaboration skills, clear communication, inclusive leadership, and ability to develop talent. Specific metrics will include feedback scores above 4.2 out of 5.0 on leadership competencies and documented career progression of team members you have mentored.</w:t>
      </w:r>
    </w:p>
    <w:p>
      <w:pPr>
        <w:pStyle w:val="Normal1"/>
        <w:spacing w:lineRule="auto" w:line="360" w:before="240" w:after="240"/>
        <w:rPr>
          <w:sz w:val="34"/>
          <w:szCs w:val="34"/>
        </w:rPr>
      </w:pPr>
      <w:r>
        <w:rPr>
          <w:b/>
          <w:bCs/>
          <w:sz w:val="34"/>
          <w:szCs w:val="34"/>
        </w:rPr>
        <w:t>Professional Credentials:</w:t>
      </w:r>
      <w:r>
        <w:rPr>
          <w:sz w:val="34"/>
          <w:szCs w:val="34"/>
        </w:rPr>
        <w:t xml:space="preserve"> Completion of at least two professional certifications in relevant technologies (AWS, GCP, Kubernetes, or similar) and participation in at least four major industry conferences as either attendee or speaker.</w:t>
      </w:r>
    </w:p>
    <w:p>
      <w:pPr>
        <w:pStyle w:val="Heading3"/>
        <w:keepNext w:val="false"/>
        <w:keepLines w:val="false"/>
        <w:spacing w:lineRule="auto" w:line="360" w:before="280" w:after="80"/>
        <w:rPr>
          <w:b/>
          <w:b/>
          <w:bCs/>
          <w:color w:val="000000"/>
          <w:sz w:val="34"/>
          <w:szCs w:val="34"/>
        </w:rPr>
      </w:pPr>
      <w:bookmarkStart w:id="20" w:name="_ou2esuvqp89"/>
      <w:bookmarkEnd w:id="20"/>
      <w:r>
        <w:rPr>
          <w:b/>
          <w:bCs/>
          <w:color w:val="000000"/>
          <w:sz w:val="34"/>
          <w:szCs w:val="34"/>
        </w:rPr>
        <w:t>Support and Resources</w:t>
      </w:r>
    </w:p>
    <w:p>
      <w:pPr>
        <w:pStyle w:val="Normal1"/>
        <w:spacing w:lineRule="auto" w:line="360" w:before="240" w:after="240"/>
        <w:rPr>
          <w:sz w:val="34"/>
          <w:szCs w:val="34"/>
        </w:rPr>
      </w:pPr>
      <w:r>
        <w:rPr>
          <w:sz w:val="34"/>
          <w:szCs w:val="34"/>
        </w:rPr>
        <w:t>The Engineering Leadership team is fully committed to supporting your development journey. You will have quarterly career development discussions with Jennifer Martinez (VP of Engineering) to assess progress, address challenges, and adjust plans as needed. You will also be paired with Robert Chen (CTO) as an executive mentor for strategic guidance on navigating the Lead Architect role.</w:t>
      </w:r>
    </w:p>
    <w:p>
      <w:pPr>
        <w:pStyle w:val="Normal1"/>
        <w:spacing w:lineRule="auto" w:line="360" w:before="240" w:after="240"/>
        <w:rPr>
          <w:sz w:val="34"/>
          <w:szCs w:val="34"/>
        </w:rPr>
      </w:pPr>
      <w:r>
        <w:rPr>
          <w:sz w:val="34"/>
          <w:szCs w:val="34"/>
        </w:rPr>
        <w:t>We encourage you to be proactive in identifying additional learning opportunities, requesting specific projects or experiences that will accelerate your development, and providing feedback on how we can better support your growth.</w:t>
      </w:r>
    </w:p>
    <w:p>
      <w:pPr>
        <w:pStyle w:val="Normal1"/>
        <w:spacing w:lineRule="auto" w:line="360" w:before="240" w:after="240"/>
        <w:rPr>
          <w:sz w:val="34"/>
          <w:szCs w:val="34"/>
        </w:rPr>
      </w:pPr>
      <w:r>
        <w:rPr>
          <w:sz w:val="34"/>
          <w:szCs w:val="34"/>
        </w:rPr>
        <w:t>We are confident in your potential and look forward to celebrating your promotion to Lead Architect in 2027.</w:t>
      </w:r>
    </w:p>
    <w:p>
      <w:pPr>
        <w:pStyle w:val="Normal1"/>
        <w:spacing w:lineRule="auto" w:line="360"/>
        <w:rPr>
          <w:sz w:val="34"/>
          <w:szCs w:val="34"/>
        </w:rPr>
      </w:pPr>
      <w:r>
        <w:rPr/>
        <mc:AlternateContent>
          <mc:Choice Requires="wps">
            <w:drawing>
              <wp:inline distT="0" distB="0" distL="0" distR="0">
                <wp:extent cx="5731510" cy="19050"/>
                <wp:effectExtent l="0" t="0" r="0" b="0"/>
                <wp:docPr id="5" name=""/>
                <a:graphic xmlns:a="http://schemas.openxmlformats.org/drawingml/2006/main">
                  <a:graphicData uri="http://schemas.microsoft.com/office/word/2010/wordprocessingShape">
                    <wps:wsp>
                      <wps:cNvSpPr/>
                      <wps:nvSpPr>
                        <wps:cNvPr id="4"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spacing w:lineRule="auto" w:line="360" w:before="240" w:after="240"/>
        <w:rPr>
          <w:b/>
          <w:b/>
          <w:bCs/>
          <w:sz w:val="34"/>
          <w:szCs w:val="34"/>
        </w:rPr>
      </w:pPr>
      <w:r>
        <w:rPr>
          <w:b/>
          <w:bCs/>
          <w:sz w:val="34"/>
          <w:szCs w:val="34"/>
        </w:rPr>
        <w:t>ACKNOWLEDGMENT AND ACCEPTANCE</w:t>
      </w:r>
    </w:p>
    <w:p>
      <w:pPr>
        <w:pStyle w:val="Normal1"/>
        <w:spacing w:lineRule="auto" w:line="360" w:before="240" w:after="240"/>
        <w:rPr>
          <w:sz w:val="34"/>
          <w:szCs w:val="34"/>
        </w:rPr>
      </w:pPr>
      <w:r>
        <w:rPr>
          <w:sz w:val="34"/>
          <w:szCs w:val="34"/>
        </w:rPr>
        <w:t>Please sign and return a copy of this letter by December 31, 2025, to indicate your receipt, understanding, and acceptance of the terms outlined above. You may return the signed copy via email to hr-compensation@techventure.com or deliver it in person to the Human Resources Department on the 4th floor.</w:t>
      </w:r>
    </w:p>
    <w:p>
      <w:pPr>
        <w:pStyle w:val="Normal1"/>
        <w:spacing w:lineRule="auto" w:line="360" w:before="240" w:after="240"/>
        <w:rPr>
          <w:sz w:val="34"/>
          <w:szCs w:val="34"/>
        </w:rPr>
      </w:pPr>
      <w:r>
        <w:rPr>
          <w:sz w:val="34"/>
          <w:szCs w:val="34"/>
        </w:rPr>
        <w:t>By signing below, you acknowledge that you have read this entire letter, understand the bonus amount and payment terms, agree to the terms and conditions in Section 4, and accept the career development plan outlined in Section 5.</w:t>
      </w:r>
    </w:p>
    <w:p>
      <w:pPr>
        <w:pStyle w:val="Normal1"/>
        <w:spacing w:lineRule="auto" w:line="360"/>
        <w:rPr>
          <w:sz w:val="34"/>
          <w:szCs w:val="34"/>
        </w:rPr>
      </w:pPr>
      <w:r>
        <w:rPr/>
        <mc:AlternateContent>
          <mc:Choice Requires="wps">
            <w:drawing>
              <wp:inline distT="0" distB="0" distL="0" distR="0">
                <wp:extent cx="5731510" cy="19050"/>
                <wp:effectExtent l="0" t="0" r="0" b="0"/>
                <wp:docPr id="6" name=""/>
                <a:graphic xmlns:a="http://schemas.openxmlformats.org/drawingml/2006/main">
                  <a:graphicData uri="http://schemas.microsoft.com/office/word/2010/wordprocessingShape">
                    <wps:wsp>
                      <wps:cNvSpPr/>
                      <wps:nvSpPr>
                        <wps:cNvPr id="5"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spacing w:lineRule="auto" w:line="360" w:before="240" w:after="240"/>
        <w:rPr>
          <w:b/>
          <w:b/>
          <w:bCs/>
          <w:sz w:val="34"/>
          <w:szCs w:val="34"/>
        </w:rPr>
      </w:pPr>
      <w:r>
        <w:rPr>
          <w:b/>
          <w:bCs/>
          <w:sz w:val="34"/>
          <w:szCs w:val="34"/>
        </w:rPr>
        <w:t>Employee Acknowledgment:</w:t>
      </w:r>
    </w:p>
    <w:p>
      <w:pPr>
        <w:pStyle w:val="Normal1"/>
        <w:spacing w:lineRule="auto" w:line="360" w:before="240" w:after="240"/>
        <w:rPr>
          <w:sz w:val="34"/>
          <w:szCs w:val="34"/>
        </w:rPr>
      </w:pPr>
      <w:r>
        <w:rPr>
          <w:sz w:val="34"/>
          <w:szCs w:val="34"/>
        </w:rPr>
        <w:t>Signature: _________________________ Date: _____________</w:t>
      </w:r>
    </w:p>
    <w:p>
      <w:pPr>
        <w:pStyle w:val="Normal1"/>
        <w:spacing w:lineRule="auto" w:line="360" w:before="240" w:after="240"/>
        <w:rPr>
          <w:sz w:val="34"/>
          <w:szCs w:val="34"/>
        </w:rPr>
      </w:pPr>
      <w:r>
        <w:rPr>
          <w:sz w:val="34"/>
          <w:szCs w:val="34"/>
        </w:rPr>
        <w:t>Printed Name: Charlie Davis</w:t>
      </w:r>
    </w:p>
    <w:p>
      <w:pPr>
        <w:pStyle w:val="Normal1"/>
        <w:spacing w:lineRule="auto" w:line="360" w:before="240" w:after="240"/>
        <w:rPr>
          <w:sz w:val="34"/>
          <w:szCs w:val="34"/>
        </w:rPr>
      </w:pPr>
      <w:r>
        <w:rPr>
          <w:sz w:val="34"/>
          <w:szCs w:val="34"/>
        </w:rPr>
        <w:t>Employee ID: 07</w:t>
      </w:r>
    </w:p>
    <w:p>
      <w:pPr>
        <w:pStyle w:val="Normal1"/>
        <w:spacing w:lineRule="auto" w:line="360" w:before="240" w:after="240"/>
        <w:rPr>
          <w:sz w:val="34"/>
          <w:szCs w:val="34"/>
        </w:rPr>
      </w:pPr>
      <w:r>
        <w:rPr>
          <w:sz w:val="34"/>
          <w:szCs w:val="34"/>
        </w:rPr>
        <w:t>Position: Senior Software Engineer</w:t>
      </w:r>
    </w:p>
    <w:p>
      <w:pPr>
        <w:pStyle w:val="Normal1"/>
        <w:spacing w:lineRule="auto" w:line="360"/>
        <w:rPr>
          <w:sz w:val="34"/>
          <w:szCs w:val="34"/>
        </w:rPr>
      </w:pPr>
      <w:r>
        <w:rPr/>
        <mc:AlternateContent>
          <mc:Choice Requires="wps">
            <w:drawing>
              <wp:inline distT="0" distB="0" distL="0" distR="0">
                <wp:extent cx="5731510" cy="19050"/>
                <wp:effectExtent l="0" t="0" r="0" b="0"/>
                <wp:docPr id="7" name=""/>
                <a:graphic xmlns:a="http://schemas.openxmlformats.org/drawingml/2006/main">
                  <a:graphicData uri="http://schemas.microsoft.com/office/word/2010/wordprocessingShape">
                    <wps:wsp>
                      <wps:cNvSpPr/>
                      <wps:nvSpPr>
                        <wps:cNvPr id="6"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spacing w:lineRule="auto" w:line="360" w:before="240" w:after="240"/>
        <w:rPr>
          <w:b/>
          <w:b/>
          <w:bCs/>
          <w:sz w:val="34"/>
          <w:szCs w:val="34"/>
        </w:rPr>
      </w:pPr>
      <w:r>
        <w:rPr>
          <w:b/>
          <w:bCs/>
          <w:sz w:val="34"/>
          <w:szCs w:val="34"/>
        </w:rPr>
        <w:t>Management Approval:</w:t>
      </w:r>
    </w:p>
    <w:p>
      <w:pPr>
        <w:pStyle w:val="Normal1"/>
        <w:spacing w:lineRule="auto" w:line="360" w:before="240" w:after="240"/>
        <w:rPr>
          <w:sz w:val="34"/>
          <w:szCs w:val="34"/>
        </w:rPr>
      </w:pPr>
      <w:r>
        <w:rPr>
          <w:sz w:val="34"/>
          <w:szCs w:val="34"/>
        </w:rPr>
        <w:t>This compensation adjustment has been reviewed and approved by:</w:t>
      </w:r>
    </w:p>
    <w:p>
      <w:pPr>
        <w:pStyle w:val="Normal1"/>
        <w:spacing w:lineRule="auto" w:line="360" w:before="240" w:after="240"/>
        <w:rPr>
          <w:sz w:val="34"/>
          <w:szCs w:val="34"/>
        </w:rPr>
      </w:pPr>
      <w:r>
        <w:rPr>
          <w:sz w:val="34"/>
          <w:szCs w:val="34"/>
        </w:rPr>
        <w:t>Jennifer Martinez, Vice President of Engineering Date: December 18, 2025</w:t>
      </w:r>
    </w:p>
    <w:p>
      <w:pPr>
        <w:pStyle w:val="Normal1"/>
        <w:spacing w:lineRule="auto" w:line="360" w:before="240" w:after="240"/>
        <w:rPr>
          <w:sz w:val="34"/>
          <w:szCs w:val="34"/>
        </w:rPr>
      </w:pPr>
      <w:r>
        <w:rPr>
          <w:sz w:val="34"/>
          <w:szCs w:val="34"/>
        </w:rPr>
        <w:t>Robert Chen, Chief Technology Officer Date: December 18, 2025</w:t>
      </w:r>
    </w:p>
    <w:p>
      <w:pPr>
        <w:pStyle w:val="Normal1"/>
        <w:spacing w:lineRule="auto" w:line="360" w:before="240" w:after="240"/>
        <w:rPr>
          <w:sz w:val="34"/>
          <w:szCs w:val="34"/>
        </w:rPr>
      </w:pPr>
      <w:r>
        <w:rPr>
          <w:sz w:val="34"/>
          <w:szCs w:val="34"/>
        </w:rPr>
        <w:t>Sarah Williams, Chief Human Resources Officer Date: December 19, 2025</w:t>
      </w:r>
    </w:p>
    <w:p>
      <w:pPr>
        <w:pStyle w:val="Normal1"/>
        <w:spacing w:lineRule="auto" w:line="360"/>
        <w:rPr>
          <w:sz w:val="34"/>
          <w:szCs w:val="34"/>
        </w:rPr>
      </w:pPr>
      <w:r>
        <w:rPr/>
        <mc:AlternateContent>
          <mc:Choice Requires="wps">
            <w:drawing>
              <wp:inline distT="0" distB="0" distL="0" distR="0">
                <wp:extent cx="5731510" cy="19050"/>
                <wp:effectExtent l="0" t="0" r="0" b="0"/>
                <wp:docPr id="8" name=""/>
                <a:graphic xmlns:a="http://schemas.openxmlformats.org/drawingml/2006/main">
                  <a:graphicData uri="http://schemas.microsoft.com/office/word/2010/wordprocessingShape">
                    <wps:wsp>
                      <wps:cNvSpPr/>
                      <wps:nvSpPr>
                        <wps:cNvPr id="7"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spacing w:lineRule="auto" w:line="360" w:before="240" w:after="240"/>
        <w:rPr>
          <w:b/>
          <w:b/>
          <w:bCs/>
          <w:sz w:val="34"/>
          <w:szCs w:val="34"/>
        </w:rPr>
      </w:pPr>
      <w:r>
        <w:rPr>
          <w:b/>
          <w:bCs/>
          <w:sz w:val="34"/>
          <w:szCs w:val="34"/>
        </w:rPr>
        <w:t>Document Control Information:</w:t>
      </w:r>
    </w:p>
    <w:p>
      <w:pPr>
        <w:pStyle w:val="Normal1"/>
        <w:spacing w:lineRule="auto" w:line="360" w:before="240" w:after="240"/>
        <w:rPr>
          <w:sz w:val="34"/>
          <w:szCs w:val="34"/>
        </w:rPr>
      </w:pPr>
      <w:r>
        <w:rPr>
          <w:sz w:val="34"/>
          <w:szCs w:val="34"/>
        </w:rPr>
        <w:t>Document ID: COMP-FY2025-ENG-007 Revision: 1.0 Issued: December 20, 2025 Page Count: 8 pages Classification: Privileged and Confidential</w:t>
      </w:r>
    </w:p>
    <w:p>
      <w:pPr>
        <w:pStyle w:val="Normal1"/>
        <w:spacing w:lineRule="auto" w:line="360"/>
        <w:rPr>
          <w:sz w:val="34"/>
          <w:szCs w:val="34"/>
        </w:rPr>
      </w:pPr>
      <w:r>
        <w:rPr/>
        <mc:AlternateContent>
          <mc:Choice Requires="wps">
            <w:drawing>
              <wp:inline distT="0" distB="0" distL="0" distR="0">
                <wp:extent cx="5731510" cy="19050"/>
                <wp:effectExtent l="0" t="0" r="0" b="0"/>
                <wp:docPr id="9" name=""/>
                <a:graphic xmlns:a="http://schemas.openxmlformats.org/drawingml/2006/main">
                  <a:graphicData uri="http://schemas.microsoft.com/office/word/2010/wordprocessingShape">
                    <wps:wsp>
                      <wps:cNvSpPr/>
                      <wps:nvSpPr>
                        <wps:cNvPr id="8" name=""/>
                        <wps:cNvSpPr/>
                      </wps:nvSpPr>
                      <wps:spPr>
                        <a:xfrm>
                          <a:off x="0" y="0"/>
                          <a:ext cx="57315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51.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1"/>
        <w:spacing w:lineRule="auto" w:line="360" w:before="240" w:after="240"/>
        <w:rPr>
          <w:i/>
          <w:i/>
          <w:iCs/>
          <w:sz w:val="34"/>
          <w:szCs w:val="34"/>
        </w:rPr>
      </w:pPr>
      <w:r>
        <w:rPr>
          <w:i/>
          <w:iCs/>
          <w:sz w:val="34"/>
          <w:szCs w:val="34"/>
        </w:rPr>
        <w:t>TechVenture Solutions, Inc. is an equal opportunity employer committed to diversity, equity, and inclusion in the workplace. We provide reasonable accommodations for qualified individuals with disabilities and do not discriminate on the basis of race, color, religion, sex, national origin, age, disability, veteran status, sexual orientation, gender identity, or any other protected characteristic under applicable law.</w:t>
      </w:r>
    </w:p>
    <w:p>
      <w:pPr>
        <w:pStyle w:val="Normal1"/>
        <w:spacing w:lineRule="auto" w:line="360"/>
        <w:rPr>
          <w:sz w:val="34"/>
          <w:szCs w:val="34"/>
        </w:rPr>
      </w:pPr>
      <w:r>
        <w:rPr/>
      </w:r>
    </w:p>
    <w:sectPr>
      <w:type w:val="nextPage"/>
      <w:pgSz w:w="11906" w:h="16838"/>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Arial Unicode MS">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embedRegular r:id="rId9" w:fontKey="{09014A78-CABC-4EF0-12AC-5CD89AEFDE09}"/>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LibreOffice/7.3.7.2$Linux_AARCH64 LibreOffice_project/30$Build-2</Application>
  <AppVersion>15.0000</AppVersion>
  <Pages>20</Pages>
  <Words>2630</Words>
  <Characters>16551</Characters>
  <CharactersWithSpaces>19071</CharactersWithSpaces>
  <Paragraphs>108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Arthur Limus</cp:lastModifiedBy>
  <dcterms:modified xsi:type="dcterms:W3CDTF">2025-12-29T02:53:00Z</dcterms:modified>
  <cp:revision>1</cp:revision>
  <dc:subject/>
  <dc:title/>
</cp:coreProperties>
</file>